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u w:val="single"/>
        </w:rPr>
        <w:t>TERMO DE REFERÊNCIA – LEI 14.133/21  de 01 de abril de 2021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CONTRATAÇÃO DE EMPRESA ESPECIALIZADA EM IMPLEMENTAÇÃO DE REDE ELÉTRICA NA CMEI “VOVÓ ZEFA”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00</w:t>
      </w: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7718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/2025 de 23 de outubr</w:t>
      </w: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</w:rPr>
        <w:t>o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 de 2025 (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Secretaria Municipal de Educação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)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240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1.1. </w:t>
      </w:r>
      <w:r>
        <w:rPr>
          <w:rFonts w:ascii="Verdana" w:hAnsi="Verdana"/>
          <w:sz w:val="20"/>
          <w:szCs w:val="20"/>
        </w:rPr>
        <w:t xml:space="preserve">Contratação de empresa especializada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em prestação de serviços para a implementação de rede elétrica no CMEI “VOVÓ ZEFA”, com fornecimento de material, locomoção e mão de obra necessária, em atendimento as necessidades da unidade escolar pertencente a Secretaria Municipal de Educação, </w:t>
      </w:r>
      <w:r>
        <w:rPr>
          <w:rFonts w:ascii="Verdana" w:hAnsi="Verdana"/>
          <w:sz w:val="20"/>
          <w:szCs w:val="20"/>
        </w:rPr>
        <w:t>conforme condições e exigências estabelecidas neste instrumento e no ETP elaborado pela requente.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W w:w="9868" w:type="dxa"/>
        <w:jc w:val="left"/>
        <w:tblInd w:w="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3016"/>
        <w:gridCol w:w="852"/>
        <w:gridCol w:w="1217"/>
        <w:gridCol w:w="2004"/>
        <w:gridCol w:w="1910"/>
      </w:tblGrid>
      <w:tr>
        <w:trPr/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ITEM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01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Contração de empresa prestação de serviços de empresa especializada para implementação de subestação de energia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com transformador trifásico e reforma dos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Circuitos internos da CMEI VOVÓ ZEFA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R$ 287.554,27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R$ 287.554,27</w:t>
            </w:r>
          </w:p>
        </w:tc>
      </w:tr>
      <w:tr>
        <w:trPr/>
        <w:tc>
          <w:tcPr>
            <w:tcW w:w="986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VALOR TOTAL: R$ 287.554,27 (duzentos e oitenta e sete mil quinhentos e cinquenta e quatro reais e vinte e sete centavos)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  <w:shd w:fill="auto" w:val="clear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</w:r>
          </w:p>
        </w:tc>
      </w:tr>
    </w:tbl>
    <w:p>
      <w:pPr>
        <w:pStyle w:val="Normal"/>
        <w:widowControl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1.2. O prazo de vigência da contratação será de 90 (noventa) dias contados do(a) 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 xml:space="preserve">a partir da assinatura </w:t>
      </w:r>
      <w:r>
        <w:rPr>
          <w:rFonts w:eastAsia="Times New Roman" w:cs="Arial" w:ascii="Verdana" w:hAnsi="Verdana"/>
          <w:bCs/>
          <w:iCs/>
          <w:color w:val="000000"/>
          <w:kern w:val="0"/>
          <w:sz w:val="20"/>
          <w:szCs w:val="20"/>
          <w:lang w:val="pt-BR" w:eastAsia="pt-BR" w:bidi="ar-SA"/>
        </w:rPr>
        <w:t>do Contrato, de acordo com o cronograma incluso nos autos pelo engenheiro responsável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>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 xml:space="preserve">O custo estimado total da contratação é de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  <w:shd w:fill="auto" w:val="clear"/>
        </w:rPr>
        <w:t>R$ 287.554,27 (duzentos e oitenta e sete mil quinhentos e cinquenta e quatro reais e vinte e sete centavos)</w:t>
      </w:r>
      <w:r>
        <w:rPr>
          <w:rFonts w:eastAsia="Times New Roman" w:cs="Times New Roman" w:ascii="Verdana" w:hAnsi="Verdana"/>
          <w:i w:val="false"/>
          <w:iCs w:val="false"/>
          <w:color w:val="000000"/>
          <w:sz w:val="20"/>
          <w:szCs w:val="20"/>
          <w:shd w:fill="auto" w:val="clear"/>
        </w:rPr>
        <w:t>,</w:t>
      </w:r>
      <w:r>
        <w:rPr>
          <w:rFonts w:eastAsia="Times New Roman" w:cs="Times New Roman" w:ascii="Verdana" w:hAnsi="Verdana"/>
          <w:i/>
          <w:iCs/>
          <w:color w:val="000000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  <w:shd w:fill="auto" w:val="clear"/>
        </w:rPr>
        <w:t>conforme custos unitários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  <w:shd w:fill="auto" w:val="clear"/>
        </w:rPr>
        <w:t xml:space="preserve"> apostos nas tabelas anexadas no autos pela requerente (Tabela DER-ES mai/2025)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</w:rPr>
        <w:t xml:space="preserve"> em anexo nos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 w:eastAsia="Times New Roman" w:cs="Times New Roman"/>
          <w:bCs/>
          <w:iCs/>
          <w:color w:val="000000"/>
          <w:sz w:val="20"/>
          <w:szCs w:val="20"/>
        </w:rPr>
      </w:pP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DESCRIÇÃO DA NECESSIDADE DA CONTRATAÇÃO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2.1.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hi-IN"/>
        </w:rPr>
        <w:t xml:space="preserve">A Fundamentação da Contratação e de seus quantitativos encontra-se pormenorizada em Tópico específico dos Estudos Técnicos Preliminares, apêndice deste Termo de Referência. </w:t>
      </w:r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 w:eastAsia="Calibri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Calibri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3. DESCRIÇÃO DA SOLUÇÃO COMO UM TODO CONSIDERADO O CICLO DE VIDA DO OBJETO E ESPECIFICAÇÃO DO PRODUTO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3.1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descrição da solução como um todo se encontra pormenorizada em tópico específico dos Estudos Técnicos Preliminares, apêndice deste Termo de Referência.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4. REQUISITOS DA CONTRATAÇÃO</w:t>
      </w:r>
    </w:p>
    <w:p>
      <w:pPr>
        <w:pStyle w:val="Normal"/>
        <w:widowControl/>
        <w:tabs>
          <w:tab w:val="clear" w:pos="708"/>
          <w:tab w:val="left" w:pos="563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4.1. Não haverá danos ao meio ambiente, uma vez que o serviço não gerará tal problema para a Administração Pública.</w:t>
      </w:r>
    </w:p>
    <w:p>
      <w:pPr>
        <w:pStyle w:val="Normal"/>
        <w:widowControl/>
        <w:tabs>
          <w:tab w:val="clear" w:pos="708"/>
          <w:tab w:val="left" w:pos="513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4.2. A empresa prestadora de serviços será contratada por meio de </w:t>
      </w:r>
      <w:r>
        <w:rPr>
          <w:rFonts w:ascii="Verdana" w:hAnsi="Verdana"/>
          <w:b/>
          <w:bCs/>
          <w:sz w:val="20"/>
          <w:szCs w:val="20"/>
          <w:shd w:fill="auto" w:val="clear"/>
        </w:rPr>
        <w:t>licitação</w:t>
      </w:r>
      <w:r>
        <w:rPr>
          <w:rFonts w:ascii="Verdana" w:hAnsi="Verdana"/>
          <w:sz w:val="20"/>
          <w:szCs w:val="20"/>
          <w:shd w:fill="auto" w:val="clear"/>
        </w:rPr>
        <w:t xml:space="preserve">, sendo sagrado vencedor, o fornecedor que apresentar o menor valor ou maior desconto do serviço,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de acordo com a solicitação da secretaria requisitante</w:t>
      </w:r>
      <w:r>
        <w:rPr>
          <w:rFonts w:ascii="Verdana" w:hAnsi="Verdana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4.3. A empresa fornecedora devera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realizar</w:t>
      </w:r>
      <w:r>
        <w:rPr>
          <w:rFonts w:ascii="Verdana" w:hAnsi="Verdana"/>
          <w:sz w:val="20"/>
          <w:szCs w:val="20"/>
          <w:shd w:fill="auto" w:val="clear"/>
        </w:rPr>
        <w:t xml:space="preserve"> o serviço conforme especificação nas tabelas, no contrato e na autorização de fornecimento/execução.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4.4. A empresa fornecedora deverá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realizar</w:t>
      </w:r>
      <w:r>
        <w:rPr>
          <w:rFonts w:ascii="Verdana" w:hAnsi="Verdana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sz w:val="20"/>
          <w:szCs w:val="20"/>
          <w:shd w:fill="auto" w:val="clear"/>
        </w:rPr>
        <w:t>o serviço solicitado</w:t>
      </w:r>
      <w:r>
        <w:rPr>
          <w:rFonts w:ascii="Verdana" w:hAnsi="Verdana"/>
          <w:sz w:val="20"/>
          <w:szCs w:val="20"/>
          <w:shd w:fill="auto" w:val="clear"/>
        </w:rPr>
        <w:t xml:space="preserve"> na data estipulada no contrato e na autorização de fornecimento/execução emitida pelo Departamento de Compras e Contratos.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4.5</w:t>
      </w:r>
      <w:r>
        <w:rPr>
          <w:rFonts w:eastAsia="Arial" w:cs="Arial" w:ascii="Verdana" w:hAnsi="Verdana"/>
          <w:b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Assumir inteira responsabilidade civil, administrativa e penal por quaisquer danos e prejuízos, aos equipamentos ou pessoas, causados pela Contratada, seus empregados, ou prepostos ao Contratante ou a terceiros.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4.6.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Obriga-se a Contratada, mediante solicitação do Contratante, a orçar previamente eventual execução de serviços não cobertos pelo objeto do Contrato.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4.7.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Prover condições que possibilitem o atendimento dos serviços a partir da data da assinatura do contrato.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4.8.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  <w:r>
        <w:rPr>
          <w:rFonts w:ascii="Verdana" w:hAnsi="Verdana"/>
          <w:sz w:val="20"/>
          <w:szCs w:val="20"/>
        </w:rPr>
        <w:t>Manter-se plenamente de acordo com os preceitos legais pertinentes à segurança do trabalho, adotando sempre as melhores normas técnicas de segurança e saúde aos profissionais que atuarão na execução do objeto do Contrato.</w:t>
      </w:r>
    </w:p>
    <w:p>
      <w:pPr>
        <w:pStyle w:val="Normal"/>
        <w:tabs>
          <w:tab w:val="clear" w:pos="708"/>
          <w:tab w:val="left" w:pos="14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 xml:space="preserve">4.9.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Executar os serviços de acordo com a melhor técnica e nos padrões de segurança.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4.10. </w:t>
      </w:r>
      <w:r>
        <w:rPr>
          <w:rFonts w:ascii="Verdana" w:hAnsi="Verdana"/>
          <w:b w:val="false"/>
          <w:bCs w:val="false"/>
          <w:sz w:val="20"/>
          <w:szCs w:val="20"/>
        </w:rPr>
        <w:t>Z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elar pela integridade física das instalações</w:t>
      </w:r>
      <w:r>
        <w:rPr>
          <w:rFonts w:ascii="Verdana" w:hAnsi="Verdana"/>
          <w:b w:val="false"/>
          <w:bCs w:val="false"/>
          <w:sz w:val="20"/>
          <w:szCs w:val="20"/>
        </w:rPr>
        <w:t>;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>4.11. Fornecer os materiais de consumo necessários à execução dos serviços;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4.12. Fornecer ferramentas, aparelhos de medições e testes, bem como seu transporte e tudo o mais que for necessário para disponibilizá-los, a fim de assegurar a prestação dos serviços de </w:t>
      </w:r>
      <w:r>
        <w:rPr>
          <w:rFonts w:ascii="Verdana" w:hAnsi="Verdana"/>
          <w:b w:val="false"/>
          <w:bCs w:val="false"/>
          <w:sz w:val="20"/>
          <w:szCs w:val="20"/>
        </w:rPr>
        <w:t>implementação de rede elétrica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ora licitados, devendo, obrigatoriamente, a CONTRATADA incluir no preço do serviço os correspondentes custos.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4.13. Reali</w:t>
      </w:r>
      <w:r>
        <w:rPr>
          <w:rFonts w:ascii="Verdana" w:hAnsi="Verdana"/>
          <w:b w:val="false"/>
          <w:sz w:val="20"/>
          <w:szCs w:val="20"/>
          <w:shd w:fill="auto" w:val="clear"/>
        </w:rPr>
        <w:t>zar todos e quaisquer serviços de manutenção que se fizerem necessários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2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4.14. Para toda a realização dos serviços a CONTRATADA deverá emitir um relatório detalhado dos serviços executados, entregando à Secretaria requisitante o original assinado pelo técnico que executou o serviço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shd w:fill="auto" w:val="clear"/>
        </w:rPr>
        <w:t>4.15. Da qualificação técnica (conforme ETP)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4.15.1.</w:t>
      </w:r>
      <w:r>
        <w:rPr>
          <w:rFonts w:ascii="Verdana" w:hAnsi="Verdana"/>
          <w:b w:val="false"/>
          <w:sz w:val="20"/>
          <w:szCs w:val="20"/>
          <w:shd w:fill="auto" w:val="clear"/>
        </w:rPr>
        <w:t xml:space="preserve"> Comprovação de aptidão para desempenho de atividade pertinente e compatível com o objeto desta licitação, mediante apresentação de atestado de capacidade técnica, expedido por pessoa jurídica de direito público ou privado, compatíveis com o objeto desta licitação, devidamente assinado pela pessoa responsável.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4.15.2. </w:t>
      </w:r>
      <w:r>
        <w:rPr>
          <w:rFonts w:ascii="Verdana" w:hAnsi="Verdana"/>
          <w:b w:val="false"/>
          <w:sz w:val="20"/>
          <w:szCs w:val="20"/>
          <w:shd w:fill="auto" w:val="clear"/>
        </w:rPr>
        <w:t>Registro da pessoa jurídica (CONTRATADA) no Conselho Regional de Engenharia, Arquitetura e Agronomia conforme Resolução nº 218/1979, bem como à Decisão Normativa nº 42/1992, ambas do Conselho Federal de Engenharia, Arquitetura e Agronomia – CONFEA. Podendo ainda, devido a natureza de suas atividades, estar registrado no Conselho Regional dos Técnicos Industriais (CRT).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  <w:shd w:fill="FFFF00" w:val="clear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5. MODELO DE EXECUÇÃO CONTRATUAL </w:t>
      </w:r>
    </w:p>
    <w:p>
      <w:pPr>
        <w:pStyle w:val="Normal"/>
        <w:widowControl/>
        <w:tabs>
          <w:tab w:val="clear" w:pos="708"/>
          <w:tab w:val="left" w:pos="50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5.1. O prazo de execução dos serviços será de 90 (noventa) dias, de acordo com o contrato e 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autorização</w:t>
      </w:r>
      <w:r>
        <w:rPr>
          <w:rFonts w:ascii="Verdana" w:hAnsi="Verdana"/>
          <w:sz w:val="20"/>
          <w:szCs w:val="20"/>
          <w:shd w:fill="auto" w:val="clear"/>
        </w:rPr>
        <w:t xml:space="preserve"> de compras/execução emitida pelo Departamento de Compras e Contratos e seu respectivo prazo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de realização dos serviços</w:t>
      </w:r>
      <w:r>
        <w:rPr>
          <w:rFonts w:ascii="Verdana" w:hAnsi="Verdana"/>
          <w:sz w:val="20"/>
          <w:szCs w:val="20"/>
          <w:shd w:fill="auto" w:val="clear"/>
        </w:rPr>
        <w:t>.</w:t>
      </w:r>
    </w:p>
    <w:p>
      <w:pPr>
        <w:pStyle w:val="Normal"/>
        <w:widowControl/>
        <w:tabs>
          <w:tab w:val="clear" w:pos="708"/>
          <w:tab w:val="left" w:pos="50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5.2.</w:t>
      </w:r>
      <w:r>
        <w:rPr>
          <w:rFonts w:eastAsia="Arial" w:cs="Times New Roman" w:ascii="Verdana" w:hAnsi="Verdana"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Os serviços deverão ser realizados na CMEI “VOVÓ ZEFA”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Rua: Boa Vista, Bairro Boa Vista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São Gabriel da Palha – ES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CEP 29.7800-000</w:t>
      </w:r>
    </w:p>
    <w:p>
      <w:pPr>
        <w:pStyle w:val="Normal"/>
        <w:widowControl/>
        <w:tabs>
          <w:tab w:val="clear" w:pos="708"/>
          <w:tab w:val="left" w:pos="50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Cs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 xml:space="preserve">5.2.1 Responsável: </w:t>
      </w:r>
      <w:r>
        <w:rPr>
          <w:rFonts w:ascii="Verdana" w:hAnsi="Verdana"/>
          <w:sz w:val="20"/>
          <w:szCs w:val="20"/>
          <w:shd w:fill="auto" w:val="clear"/>
        </w:rPr>
        <w:t xml:space="preserve">Secretaria Municipal de </w:t>
      </w:r>
      <w:r>
        <w:rPr>
          <w:rFonts w:eastAsia="Times New Roman" w:cs="Times New Roman" w:ascii="Verdana" w:hAnsi="Verdana"/>
          <w:sz w:val="20"/>
          <w:szCs w:val="20"/>
          <w:shd w:fill="auto" w:val="clear"/>
        </w:rPr>
        <w:t>E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ducação</w:t>
      </w:r>
      <w:r>
        <w:rPr>
          <w:rFonts w:ascii="Verdana" w:hAnsi="Verdana"/>
          <w:sz w:val="20"/>
          <w:szCs w:val="20"/>
          <w:shd w:fill="auto" w:val="clear"/>
        </w:rPr>
        <w:t xml:space="preserve">, localizada no 2º andar da Sede desta Prefeitura, à </w:t>
      </w:r>
      <w:r>
        <w:rPr>
          <w:rFonts w:eastAsia="Times New Roman" w:cs="Liberation Serif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Praça Vicente Glazar, nº 159</w:t>
      </w:r>
      <w:r>
        <w:rPr>
          <w:rFonts w:cs="Liberation Serif" w:ascii="Verdana" w:hAnsi="Verdana"/>
          <w:sz w:val="20"/>
          <w:szCs w:val="20"/>
          <w:shd w:fill="auto" w:val="clear"/>
        </w:rPr>
        <w:t xml:space="preserve">, Bairro Glória, </w:t>
      </w:r>
      <w:r>
        <w:rPr>
          <w:rFonts w:ascii="Verdana" w:hAnsi="Verdana"/>
          <w:sz w:val="20"/>
          <w:szCs w:val="20"/>
          <w:shd w:fill="auto" w:val="clear"/>
        </w:rPr>
        <w:t>São Gabriel da Palha – ES, Cep.29.780-000.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E-mail.: </w:t>
      </w:r>
      <w:r>
        <w:rPr>
          <w:rFonts w:eastAsia="Arial" w:cs="Times New Roman" w:ascii="Verdana" w:hAnsi="Verdana"/>
          <w:bCs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>financeirosemecsgp@gmail.com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/>
      </w:pPr>
      <w:r>
        <w:rPr>
          <w:rStyle w:val="Hyperlink"/>
          <w:rFonts w:eastAsia="Times New Roman" w:cs="Times New Roman" w:ascii="Verdana" w:hAnsi="Verdana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>Telefone: (27) 3727 - 3993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5.3. O prazo de execução/entrega do serviço será de 90 (noventa) dias contados da assinatura do contrato.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5.4. A empresa deverá responsabilizar-se pelos serviços, assumindo total responsabilidade por quaisquer danos ou prejuízos causados.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5.5. 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recebimento provisório ou definitivo do objeto não exclui a responsabilidade da contratada pelos prejuízos resultantes da incorreta execução do contrato.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5.6. O contrato deverá ser executado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5.7.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5.8. O órgão ou entidade poderá convocar representante da empresa para adoção de Providências que devam ser cumpridas de imediato.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5.9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.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A conferência/fiscalização deverá ser acompanhada por um servidor </w:t>
      </w:r>
      <w:r>
        <w:rPr>
          <w:rFonts w:eastAsia="Times New Roman" w:cs="Times New Roman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da secretaria requisitante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, a fim de zelar pela qualidade e quantidade dos serviços executados.</w:t>
      </w:r>
    </w:p>
    <w:p>
      <w:pPr>
        <w:pStyle w:val="Nivel2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u w:val="none"/>
        </w:rPr>
        <w:t>5.10. Serviços e Critérios de Aceitação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5.10.1. Os serviços constituem-se de prestação de serviços de implementação de rede elétrica na CMEI “VOVÓ ZEFA”.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5.10.2. 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 xml:space="preserve">5.10.3. O prazo para execução dos serviços requisitados será de acordo com o cronograma de execução; 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u w:val="none"/>
        </w:rPr>
        <w:t>5.10.4. Nos preços apresentados deverão estar incluídas todas as despesas com mão de obra, materiais, encargos trabalhistas, previdenciários, fiscais, comerciais, despesas e obrigações financeiras de qualquer natureza e outras despesas, diretas e indiretas, inclusive lucro, necessários à perfeita execução da obra;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5.10.5. Os serviços deverão ser realizados no horário das </w:t>
      </w:r>
      <w:r>
        <w:rPr>
          <w:rFonts w:ascii="Verdana" w:hAnsi="Verdana"/>
          <w:b w:val="false"/>
          <w:bCs w:val="false"/>
          <w:sz w:val="20"/>
          <w:szCs w:val="20"/>
        </w:rPr>
        <w:t>07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(</w:t>
      </w:r>
      <w:r>
        <w:rPr>
          <w:rFonts w:ascii="Verdana" w:hAnsi="Verdana"/>
          <w:b w:val="false"/>
          <w:bCs w:val="false"/>
          <w:sz w:val="20"/>
          <w:szCs w:val="20"/>
        </w:rPr>
        <w:t>sete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) às </w:t>
      </w:r>
      <w:r>
        <w:rPr>
          <w:rFonts w:ascii="Verdana" w:hAnsi="Verdana"/>
          <w:b w:val="false"/>
          <w:bCs w:val="false"/>
          <w:sz w:val="20"/>
          <w:szCs w:val="20"/>
        </w:rPr>
        <w:t>17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(dezessete) horas, de segunda a </w:t>
      </w:r>
      <w:r>
        <w:rPr>
          <w:rFonts w:ascii="Verdana" w:hAnsi="Verdana"/>
          <w:b w:val="false"/>
          <w:bCs w:val="false"/>
          <w:sz w:val="20"/>
          <w:szCs w:val="20"/>
        </w:rPr>
        <w:t>sexta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-feira</w:t>
      </w:r>
      <w:r>
        <w:rPr>
          <w:rFonts w:ascii="Verdana" w:hAnsi="Verdana"/>
          <w:b w:val="false"/>
          <w:bCs w:val="false"/>
          <w:sz w:val="20"/>
          <w:szCs w:val="20"/>
        </w:rPr>
        <w:t>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5.10.6 .A realização dos serviços, bem como a entrega, deverá ocorrer no endereço listado no item 5.2.</w:t>
      </w:r>
    </w:p>
    <w:p>
      <w:pPr>
        <w:pStyle w:val="normal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5.10.7. 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Para toda a realização dos serviços a CONTRATADA deverá emitir um relatório detalhado dos serviços executados, </w:t>
      </w:r>
      <w:r>
        <w:rPr>
          <w:rFonts w:ascii="Verdana" w:hAnsi="Verdana"/>
          <w:b w:val="false"/>
          <w:bCs w:val="false"/>
          <w:sz w:val="20"/>
          <w:szCs w:val="20"/>
        </w:rPr>
        <w:t>o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s formulários deverão ser padronizados e acertados de comum acordo entre o CONTRATANTE e a CONTRATADA.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u w:val="singl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6. OBRIGAÇÕES DA CONTRATANTE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6.1. Constituem obrigações da Contratante, além de outras previstas no Contrato, Termo de Referência, no Edital e seus anexos: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Contratar o serviço no prazo e condições estabelecidas no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6.3.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Verificar a conformidade dos serviços prestados de acordo com as especificações constantes no Contrato, Termo de Referência,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6.4.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Comunicar a Contratada, por escrito, sobre imperfeições, falhas ou irregularidades verificadas no objeto contratado, para que tome as providências cabíveis.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6.5.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Acompanhar e fiscalizar o cumprimento das obrigações da Contratada.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6.6.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Efetuar o pagamento à Contratada no valor correspondente à prestação do objeto, no prazo e forma estabelecidos no Edital e seus anexo. 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6.7.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0" w:after="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7. OBRIGAÇÕES DA CONTRATADA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7.1. A Contratada deve cumprir todas as obrigações constantes no Contrato, neste Termo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7.2. Efetuar as vistorias e demais serviços, conforme especificações, prazo e local constantes no Contrato, Termo de Referência e seus anexos, acompanhado da respectiva nota fiscal.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7.3. Responsabilizar-se pelos vícios e danos decorrentes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7.4. Substituir, reparar ou corrigir, às suas expensas, no prazo fixado neste Termo de Referência, o objeto/serviço com avarias ou defeitos.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Comunicar à Contratante, no prazo máximo de 05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(cinco) dias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 que antecede a data da entrega, os motivos que impossibilitem o cumprimento do prazo previsto, com a devida comprovação.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Manter, durante toda a execução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Indicar preposto para representá-la durante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45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7.9. Durante a execução do Contrato, a CONTRATADA deverá:</w:t>
      </w:r>
      <w:r>
        <w:rPr>
          <w:rFonts w:ascii="Verdana" w:hAnsi="Verdana"/>
          <w:b w:val="false"/>
          <w:bCs w:val="false"/>
          <w:sz w:val="20"/>
          <w:szCs w:val="20"/>
        </w:rPr>
        <w:br/>
        <w:t>7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da secretaria requisitante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nas quantidades e especificações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do Contrato e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7.9.2.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  <w:bookmarkStart w:id="0" w:name="art120"/>
      <w:bookmarkStart w:id="1" w:name="art1222"/>
      <w:bookmarkStart w:id="2" w:name="art122%252525252525252525252525252525252"/>
      <w:bookmarkStart w:id="3" w:name="art122%252525252525252525252525252525251"/>
      <w:bookmarkStart w:id="4" w:name="art122%252525252525252525252525252525253"/>
      <w:bookmarkStart w:id="5" w:name="_GoBack2"/>
      <w:bookmarkStart w:id="6" w:name="art121"/>
      <w:bookmarkStart w:id="7" w:name="art1232"/>
      <w:bookmarkStart w:id="8" w:name="art120"/>
      <w:bookmarkStart w:id="9" w:name="art1222"/>
      <w:bookmarkStart w:id="10" w:name="art122%252525252525252525252525252525252"/>
      <w:bookmarkStart w:id="11" w:name="art122%252525252525252525252525252525251"/>
      <w:bookmarkStart w:id="12" w:name="art122%252525252525252525252525252525253"/>
      <w:bookmarkStart w:id="13" w:name="_GoBack2"/>
      <w:bookmarkStart w:id="14" w:name="art121"/>
      <w:bookmarkStart w:id="15" w:name="art1232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 CRITÉRIOS DE PAGAMENTO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8.1. Recebida a Nota Fiscal ou documento de cobrança equivalente, correrá o prazo de 30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 xml:space="preserve"> (trinta) 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dias úteis após a execução dos serviços, através de medição mensal (conforme descrito no DFD), na forma desta seção, prorrogáveis por igual período.</w:t>
      </w:r>
    </w:p>
    <w:p>
      <w:pPr>
        <w:pStyle w:val="Normal"/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1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8.5.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8.7. O pagamento será realizado por meio de ordem bancária, para crédito em banco, agência e conta corrente indicados pelo contratado.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8.8. Será considerada data do pagamento o dia em que constar como emitida a ordem bancária para pagamento.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89. Quando do pagamento, será efetuada a retenção tributária prevista na legislação aplicável.</w:t>
      </w:r>
    </w:p>
    <w:p>
      <w:pPr>
        <w:pStyle w:val="Normal"/>
        <w:spacing w:lineRule="auto" w:line="24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8.10. O contratado regularmente optante pelo Simples Nacional, nos termos da </w:t>
      </w:r>
      <w:hyperlink r:id="rId2">
        <w:r>
          <w:rPr>
            <w:rStyle w:val="ListLabel2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8.11.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Calibri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8.11.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VM = VF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u w:val="single"/>
          <w:shd w:fill="auto" w:val="clear"/>
        </w:rPr>
        <w:t>0,33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b w:val="false"/>
          <w:bCs w:val="false"/>
          <w:sz w:val="20"/>
          <w:szCs w:val="20"/>
          <w:shd w:fill="auto" w:val="clear"/>
        </w:rPr>
        <w:t xml:space="preserve">       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>100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Onde: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color w:val="000000"/>
          <w:sz w:val="20"/>
          <w:szCs w:val="20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8.12..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8.13.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8.14.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 CONTRATANTE poderá deduzir do pagamento importâncias que a qualquer título lhe forem devidos pela empresa CONTRATADA, em decorrência de descumprimento de s</w:t>
      </w: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>uas obrigações.</w:t>
      </w:r>
    </w:p>
    <w:p>
      <w:pPr>
        <w:pStyle w:val="Default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8.15.</w:t>
      </w:r>
      <w:r>
        <w:rPr>
          <w:rFonts w:eastAsia="Times New Roman" w:cs="Arial;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;Arial" w:ascii="Verdana" w:hAnsi="Verdana"/>
          <w:sz w:val="20"/>
          <w:szCs w:val="20"/>
          <w:shd w:fill="auto" w:val="clear"/>
          <w:lang w:eastAsia="en-US"/>
        </w:rPr>
        <w:t xml:space="preserve">Para a efetivação do pagamento, a CONTRATADA deverá manter as mesmas </w:t>
      </w:r>
      <w:r>
        <w:rPr>
          <w:rFonts w:cs="Arial;Arial" w:ascii="Verdana" w:hAnsi="Verdana"/>
          <w:sz w:val="20"/>
          <w:szCs w:val="20"/>
          <w:shd w:fill="auto" w:val="clear"/>
          <w:lang w:eastAsia="pt-BR"/>
        </w:rPr>
        <w:t>condições relativas à proposta de preço e a habilitação;</w:t>
      </w:r>
    </w:p>
    <w:p>
      <w:pPr>
        <w:pStyle w:val="Default"/>
        <w:spacing w:lineRule="auto" w:line="240"/>
        <w:ind w:hanging="0" w:left="-22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9. DAS SANÇÕES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9.1.1. Dar causa à inexecução parcial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9.1.3. Dar causa à inexecução total;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9.1.4. Deixar de entregar a documentação exigida para o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9.1.5. Não manter a proposta, salvo em decorrência de fato superveniente devidamente justificado.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9.1.6.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9.1.7. Ensejar o retardamento da execução ou da entrega do objeto sem motivo justificado,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9.1.8. Apresentar declaração ou documentação falsa exigida para o certame ou prestar declaração falsa durante a licitação ou 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9.1.9. Fraudar a licitação ou praticar ato fraudulento na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9.1.10. Comportar-se de modo inidôneo ou cometer fraude de qualquer natureza.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9.1.10.1. Considera-se comportamento inidôneo, entre outros, a declaração falsa quanto às condições de participação, quanto ao enquadramento como ME/EPP ou o conluio entre os fornecedores, em qualquer momento da licitação, mesmo após o encerramento da fase de lances.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9.1.11. Praticar atos ilícitos com vistas a frustrar os objetivos deste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9.1.12. Praticar ato lesivo previsto no art. 5º da Lei nº 12.846, de 1º de agosto de 2013.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a) Advertência pela falta do subitem 9.1.1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9.1.1 a 9.1.7 e 20% (vinte por cento), se cometidas infrações previstas nos itens 9.1.8 a 9.1.12;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b.1) O valor da multa poderá ser descontado das faturas devidas à CONTRATADA;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 Na aplicação das sanções serão considerados: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9.3.1. A natureza e a gravidade da infração cometida.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9.3.2. As peculiaridades do caso concreto.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9.3.3. As circunstâncias agravantes ou atenuantes.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9.3.4. Os danos que dela provierem para a Administração Pública.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iCs/>
          <w:sz w:val="20"/>
          <w:szCs w:val="20"/>
          <w:shd w:fill="auto" w:val="clear"/>
        </w:rPr>
      </w:pPr>
      <w:r>
        <w:rPr>
          <w:rFonts w:ascii="Verdana" w:hAnsi="Verdana"/>
          <w:iCs/>
          <w:sz w:val="20"/>
          <w:szCs w:val="20"/>
          <w:shd w:fill="auto" w:val="clear"/>
        </w:rPr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10. DA HABILITAÇÃO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10.1.3. 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10.2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10.2.3 O descu</w:t>
      </w:r>
      <w:r>
        <w:rPr>
          <w:rFonts w:cs="Verdana" w:ascii="Verdana" w:hAnsi="Verdana"/>
          <w:color w:val="000000"/>
          <w:sz w:val="20"/>
          <w:szCs w:val="20"/>
        </w:rPr>
        <w:t>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"/>
        <w:keepNext w:val="false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10.5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0" w:after="0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10.7</w:t>
      </w:r>
      <w:r>
        <w:rPr>
          <w:rFonts w:cs="Verdana" w:ascii="Verdana" w:hAnsi="Verdana"/>
          <w:color w:val="000000"/>
          <w:sz w:val="20"/>
          <w:szCs w:val="20"/>
        </w:rPr>
        <w:t xml:space="preserve"> Ressalvado o disposto </w:t>
      </w:r>
      <w:r>
        <w:rPr>
          <w:rFonts w:eastAsia="WenQuanYi Micro Hei" w:cs="Verdana" w:ascii="Verdana" w:hAnsi="Verdana"/>
          <w:color w:val="000000"/>
          <w:kern w:val="0"/>
          <w:sz w:val="20"/>
          <w:szCs w:val="20"/>
          <w:lang w:val="pt-BR" w:eastAsia="zh-CN" w:bidi="hi-IN"/>
        </w:rPr>
        <w:t>na lei</w:t>
      </w:r>
      <w:r>
        <w:rPr>
          <w:rFonts w:cs="Verdana" w:ascii="Verdana" w:hAnsi="Verdana"/>
          <w:color w:val="000000"/>
          <w:sz w:val="20"/>
          <w:szCs w:val="20"/>
        </w:rPr>
        <w:t>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10.8 Habilitação jurídica: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Hyperlink"/>
            <w:rFonts w:cs="Verdana" w:ascii="Verdana" w:hAnsi="Verdana"/>
            <w:b w:val="false"/>
            <w:bCs w:val="false"/>
            <w:color w:val="000000"/>
            <w:sz w:val="20"/>
            <w:szCs w:val="20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10.8.6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10.8.7 No caso de empresa ou sociedade estrangeira em funcionamento no País: decreto de autorização;</w:t>
      </w:r>
    </w:p>
    <w:p>
      <w:pPr>
        <w:pStyle w:val="ListParagraph"/>
        <w:spacing w:lineRule="auto" w:line="240" w:before="0" w:after="0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10.8.8 Os documentos acima deverão estar acompanhados de todas as alterações ou da c</w:t>
      </w:r>
      <w:r>
        <w:rPr>
          <w:rFonts w:cs="Verdana" w:ascii="Verdana" w:hAnsi="Verdana"/>
          <w:bCs/>
          <w:color w:val="000000"/>
          <w:sz w:val="20"/>
          <w:szCs w:val="20"/>
        </w:rPr>
        <w:t>onsolidação respectiva;</w:t>
      </w:r>
    </w:p>
    <w:p>
      <w:pPr>
        <w:pStyle w:val="ListParagraph"/>
        <w:spacing w:lineRule="auto" w:line="240" w:before="0" w:after="0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10.9.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10.9.1 Prova de inscrição no Cadastro Nacional de Pessoas Jurídicas ou no Cadastro de Pessoas Físicas, conforme o caso;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10.9.2 Certidão de regularidade junto à fazenda pública Municipal, do domicílio do Licitante;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10.9.3 Certidão de regularidade junto à fazenda pública Estadual, do domicílio do Licitante;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10.9.5 Certidão de regularidade junto ao FGTS;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10.9.6 Certidão Negativa De Débitos Trabalhistas (CNDT) de acordo com a Lei 12440 de 7 de julho de 2011.</w:t>
      </w:r>
    </w:p>
    <w:p>
      <w:pPr>
        <w:pStyle w:val="Normal"/>
        <w:snapToGrid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10.9.7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 compr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ovação de regularidade fiscal, mesmo que esta apresente alguma restrição, sob pena de inabilitação.</w:t>
      </w:r>
    </w:p>
    <w:p>
      <w:pPr>
        <w:pStyle w:val="ListParagraph"/>
        <w:spacing w:lineRule="auto" w:line="240" w:before="0" w:after="0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10.10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a)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a.1)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u w:val="none"/>
        </w:rPr>
        <w:t>a.2) Para a contagem do prazo estabelecido na letra “a” deste capítulo, será contado a partir do primeiro dia que antecede a data da realização desta  licitação.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57" w:after="57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u w:val="none"/>
          <w:shd w:fill="auto" w:val="clear"/>
          <w:lang w:eastAsia="en-US"/>
        </w:rPr>
        <w:t>a.3)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 xml:space="preserve">b) 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>BALANÇO PATRIMONIAL DA EMPRESA</w:t>
      </w:r>
      <w:r>
        <w:rPr>
          <w:rFonts w:cs="Verdana" w:ascii="Verdana" w:hAnsi="Verdana"/>
          <w:color w:val="000000"/>
          <w:sz w:val="20"/>
          <w:szCs w:val="20"/>
        </w:rPr>
        <w:t>. A exigência é salutar, pois se trata de empreendimento de vultosos valores. Diante disso, a Administração Pública não pode permitir a participação de aventureiros e de empresas que não conseguirão ter fluxo de caixa para executar o empreendimento. Por fim, o interesse social do projeto demanda uma maior segurança.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b1) PARA MICROEMPRESAS</w:t>
      </w:r>
      <w:r>
        <w:rPr>
          <w:rFonts w:cs="Verdana" w:ascii="Verdana" w:hAnsi="Verdana"/>
          <w:color w:val="000000"/>
          <w:sz w:val="20"/>
          <w:szCs w:val="20"/>
        </w:rPr>
        <w:t>: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b.1.1) A Licitante deverá apresentar cópia autentica, conforme lei municipal 13726\2018, do Balanço Patrimonial e das Demonstrações Contábeis do último exercício social, já exigíveis e apresentados na forma da Lei, incluindo a apresentação do Termo de Abertura e Termo de Encerramento do Livro Diário, devidamente registrados na Junta Comercial do Estado da Sede da licitante, obedecendo aos critérios estabelecidos pelo CFC – Conselho Federal de Contabilidade através da Resolução nº. 1.418/2012, que aprovou a Instrução Técnica Geral 1000 = ITG 1000, Modelo Contábil para as Micro Empresas e para as Empresas de Pequeno Porte, no caso da licitante enquadrar-se como ME ou EPP: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b.1.2) A ITG 1000 – do CFC – Conselho Federal de Contabilidade, estabelece a exigência de se apresentar no mínimo o Balanço Patrimonial, a Demonstração do Resultado do Exercício, a Demonstração dos Fluxos de Caixa e as Notas Explicativas, inclusive com as colunas comparativas de no mínimo 02 (dois) exercícios;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b.1.3) Quando a empresa apresentar o SPED – Contábil enviado para A RFB – </w:t>
      </w:r>
      <w:r>
        <w:rPr>
          <w:rFonts w:cs="Verdana" w:ascii="Verdana" w:hAnsi="Verdana"/>
          <w:color w:val="000000"/>
          <w:sz w:val="20"/>
          <w:szCs w:val="20"/>
        </w:rPr>
        <w:t>Receita Federal do Brasil, este suprirá os documentos listados acima, desde que também contenha as Demonstrações Contábeis especificadas na letra “a”, quais sejam: Balanço Patrimonial, a Demonstração do Resultado do Exercício, a Demonstração dos Fluxos de Caixa e as Notas Explicativas, e quando possível, com as colunas comparativas de no mínimo (dois) exercícios;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b.2) PARA EMPRESA DE MÉDIO E GRANDE PORTE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b.2.1) A Licitante deverá apresentar cópia autentica do Balanço Patrimonial e das Demonstrações Contábeis do último exercício social, já exigíveis e apresentados na forma da Lei, inclusive a apresentação do Termo de Abertura e Termo de Encerramento do Livro Diário, devidamente registrados na Junta Comercial do Estado da Sede da licitante, obedecendo aos critérios estabelecidos pelo CFC através da Resolução nº. 1.255/2009, que aprovou a Norma Brasileira de Contabilidade – NBC TG 1000, Modelo Contábil para as Médias Empresas, no caso da licitante enquadrar-se como Média empresa: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b.2.2) A NBC TG 1000 do CFC – Conselho Federal de Contabilidade, estabelece a exigência de se apresentar no mínimo o Balanço Patrimonial, a Demonstração do Resultado do Exercício e a Demonstração do Resultado Abrangente, a Demonstração das Mutações do patrimônio líquido, a Demonstração dos Lucros ou Prejuízos Acumulados, a Demonstração dos Fluxos de Caixa e as Notas Explicativas, inclusive com colunas comparativas de no mínimo 02 (dois) exercícios sociais;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b.2.3) Quando a empresa apresentar o SPED-Contábil enviado para A RFB – Receita Federal do Brasil, este suprirá os documentos listados acima, desde que também contenha as Demonstrações Contábeis especificadas na letra “a”, quais sejam: Balanço Patrimonial, a Demonstração do Resultado do Exercício, a Demonstração dos Fluxos de Caixa e as Notas Explicativas, e quando possível, com as colunas comparativas de no mínimo (dois) exercícios;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b.3) S/A – Sociedades Anônimas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a) No caso de S/A – Sociedades Anônimas, obrigadas a publicarem suas peças contábeis, deverá ser apresentada a cópia autenticada dos termos de abertura e encerramento do Livro Diário relativo ao último exercício exigível na forma da lei, devidamente registrado no órgão competente, bem como cópia da referida publicação onde conste o Balanço Patrimonial, a Demonstração de Resultado do Exercício, a Demonstração dos Fluxos de Caixa, a Demonstração das Mutações do Patrimônio Líquido e as Notas Explicativas, conforme estabelece a Lei nº. 6.404/1976 e suas alterações;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b.4) As empresas constituídas no exercício em curso deverão apresentar a cópia do balanço de abertura ou cópia do livro diário contendo o balanço de abertura, inclusive os termos de abertura e encerramento.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c) Apresentação de Relatório Contábil, contendo no mínimo os seguintes Índices Financeiros extraídos do Balanço Patrimonial apresentado nos itens acima, comprovando a boa situação financeira da licitante, vedada a sua substituição por balancetes ou balanços provisórios (exceto no caso de empresas constituídas no ano em curso), devidamente assinado pelo Contabilista Responsável pela Contabilidade da licitante e devidamente registrado no CRC – Conselho Regional de Contabilidade.</w:t>
      </w:r>
    </w:p>
    <w:p>
      <w:pPr>
        <w:pStyle w:val="Standard"/>
        <w:tabs>
          <w:tab w:val="clear" w:pos="708"/>
          <w:tab w:val="left" w:pos="397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c.1) Os Índices financeiros que deverão ser comprovados são:</w:t>
      </w:r>
    </w:p>
    <w:p>
      <w:pPr>
        <w:pStyle w:val="Standard"/>
        <w:tabs>
          <w:tab w:val="clear" w:pos="708"/>
          <w:tab w:val="left" w:pos="1985" w:leader="none"/>
          <w:tab w:val="left" w:pos="2268" w:leader="none"/>
        </w:tabs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>Índice de Liquidez Geral - ILG igual ou superior a 1,00 (um)</w:t>
      </w:r>
    </w:p>
    <w:p>
      <w:pPr>
        <w:pStyle w:val="Standard"/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>ILG</w:t>
        <w:tab/>
        <w:t xml:space="preserve">= </w:t>
        <w:tab/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Ativo Circulante + Realizável a Longo Prazo</w:t>
      </w:r>
    </w:p>
    <w:p>
      <w:pPr>
        <w:pStyle w:val="Standard"/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ab/>
        <w:t xml:space="preserve">          </w:t>
        <w:tab/>
        <w:tab/>
        <w:t>Passivo Circulante + Exigível a Longo Prazo</w:t>
      </w:r>
    </w:p>
    <w:p>
      <w:pPr>
        <w:pStyle w:val="Standard"/>
        <w:spacing w:lineRule="auto" w:line="240"/>
        <w:ind w:hanging="567" w:left="567"/>
        <w:jc w:val="both"/>
        <w:rPr>
          <w:rFonts w:ascii="Verdana" w:hAnsi="Verdana" w:cs="Verdana"/>
          <w:b w:val="false"/>
          <w:bCs w:val="false"/>
          <w:color w:val="000000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Standard"/>
        <w:tabs>
          <w:tab w:val="clear" w:pos="708"/>
          <w:tab w:val="left" w:pos="1985" w:leader="none"/>
          <w:tab w:val="left" w:pos="2268" w:leader="none"/>
        </w:tabs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>Índice de Liquidez Corrente – ILC igual ou superior a 1,00 (um)</w:t>
      </w:r>
    </w:p>
    <w:p>
      <w:pPr>
        <w:pStyle w:val="Standard"/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>ILC</w:t>
        <w:tab/>
        <w:t xml:space="preserve">=     </w:t>
        <w:tab/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Ativo Circulante</w:t>
      </w:r>
    </w:p>
    <w:p>
      <w:pPr>
        <w:pStyle w:val="Standard"/>
        <w:tabs>
          <w:tab w:val="clear" w:pos="708"/>
          <w:tab w:val="left" w:pos="2694" w:leader="none"/>
        </w:tabs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ab/>
        <w:t>Passivo Circulante</w:t>
      </w:r>
    </w:p>
    <w:p>
      <w:pPr>
        <w:pStyle w:val="Standard"/>
        <w:spacing w:lineRule="auto" w:line="240"/>
        <w:ind w:hanging="567" w:left="567"/>
        <w:jc w:val="both"/>
        <w:rPr>
          <w:rFonts w:ascii="Verdana" w:hAnsi="Verdana" w:cs="Verdana"/>
          <w:b w:val="false"/>
          <w:bCs w:val="false"/>
          <w:color w:val="000000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Standard"/>
        <w:tabs>
          <w:tab w:val="clear" w:pos="708"/>
          <w:tab w:val="left" w:pos="1985" w:leader="none"/>
          <w:tab w:val="left" w:pos="2268" w:leader="none"/>
        </w:tabs>
        <w:spacing w:lineRule="auto" w:line="240"/>
        <w:ind w:hanging="567"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>Índice de Endividamento Geral – IEG igual ou inferior a 1,00 (um)</w:t>
      </w:r>
    </w:p>
    <w:p>
      <w:pPr>
        <w:pStyle w:val="Standard"/>
        <w:spacing w:lineRule="auto" w:line="240"/>
        <w:ind w:left="56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IEG</w:t>
        <w:tab/>
        <w:t xml:space="preserve">=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Passivo Circulante + Exigível à Longo Prazo</w:t>
      </w:r>
    </w:p>
    <w:p>
      <w:pPr>
        <w:pStyle w:val="Standard"/>
        <w:tabs>
          <w:tab w:val="clear" w:pos="708"/>
          <w:tab w:val="left" w:pos="0" w:leader="none"/>
          <w:tab w:val="left" w:pos="426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ab/>
        <w:t xml:space="preserve">                                  Ativo Total</w:t>
      </w:r>
    </w:p>
    <w:p>
      <w:pPr>
        <w:pStyle w:val="Standard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c.2) Os licitantes que apresentarem resultado menor do que 1,00 (um), em qualquer dos índices referidos acima, quando de suas habilitações, deverão comprovar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patrimônio líquido mínimo, na forma dos §§ 2 º e 3º, do artigo 31, da Lei nº. 8.666/1993;</w:t>
      </w:r>
    </w:p>
    <w:p>
      <w:pPr>
        <w:pStyle w:val="Standard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c.3) A comprovação de patrimônio líquido será equivalente a 10% (dez por cento) do valor estimado para contratação, considerado o valor estimado para o período de 12 (doze) meses, conforme determina a Lei nº 8.666/1993, admitida a atualização para a data de apresentação da proposta, por meio de índices oficiais;</w:t>
      </w:r>
    </w:p>
    <w:p>
      <w:pPr>
        <w:pStyle w:val="Standard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c.4) A comprovação dos índices referidos no item c.1, bem como do patrimônio líquido aludido no item c.2, deverão se basear nas informações constantes nos documentos listados no item b desta cláusula, constituindo obrigação exclusiva do licitante a apresentação dos cálculos de forma objetiva, sob pena de inabilitação.</w:t>
      </w:r>
    </w:p>
    <w:p>
      <w:pPr>
        <w:pStyle w:val="Standard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c.5) Caso o objeto contratual venha a ser cumprido por filial do licitante, os documentos exigidos neste item também deverão ser apresentados pela filial executora do contrato, sem prejuízo para a exigência de apresentação dos </w:t>
      </w:r>
      <w:r>
        <w:rPr>
          <w:rFonts w:cs="Verdana" w:ascii="Verdana" w:hAnsi="Verdana"/>
          <w:color w:val="000000"/>
          <w:sz w:val="20"/>
          <w:szCs w:val="20"/>
        </w:rPr>
        <w:t>documentos relativos à sua matriz.</w:t>
      </w:r>
    </w:p>
    <w:p>
      <w:pPr>
        <w:pStyle w:val="Standard1"/>
        <w:spacing w:lineRule="auto" w:line="240"/>
        <w:jc w:val="both"/>
        <w:rPr>
          <w:rFonts w:ascii="Verdana" w:hAnsi="Verdana" w:cs="Verdana"/>
          <w:b/>
          <w:bCs/>
          <w:color w:val="000000"/>
          <w:sz w:val="20"/>
          <w:szCs w:val="20"/>
          <w:u w:val="single"/>
        </w:rPr>
      </w:pPr>
      <w:r>
        <w:rPr>
          <w:rFonts w:cs="Verdana" w:ascii="Verdana" w:hAnsi="Verdana"/>
          <w:b/>
          <w:bCs/>
          <w:color w:val="000000"/>
          <w:sz w:val="20"/>
          <w:szCs w:val="20"/>
          <w:u w:val="single"/>
        </w:rPr>
      </w:r>
    </w:p>
    <w:p>
      <w:pPr>
        <w:pStyle w:val="Standard1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  <w:u w:val="none"/>
        </w:rPr>
        <w:t xml:space="preserve">10.11 </w:t>
      </w:r>
      <w:r>
        <w:rPr>
          <w:rFonts w:eastAsia="Batang, 바탕" w:cs="Verdana" w:ascii="Verdana" w:hAnsi="Verdana"/>
          <w:b/>
          <w:color w:val="000000"/>
          <w:sz w:val="20"/>
          <w:szCs w:val="20"/>
          <w:u w:val="none"/>
        </w:rPr>
        <w:t>CUMPRIMENTO AO DISPOSTO NO INCISO XXXIII DO ART. 7º DA CONSTITUIÇÃO FEDERAL.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Batang, 바탕" w:cs="Verdana" w:ascii="Verdana" w:hAnsi="Verdana"/>
          <w:b w:val="false"/>
          <w:bCs w:val="false"/>
          <w:color w:val="000000"/>
          <w:sz w:val="20"/>
          <w:szCs w:val="20"/>
        </w:rPr>
        <w:t xml:space="preserve">a) </w:t>
      </w:r>
      <w:r>
        <w:rPr>
          <w:rFonts w:eastAsia="Arial" w:cs="Verdana" w:ascii="Verdana" w:hAnsi="Verdana"/>
          <w:b w:val="false"/>
          <w:bCs w:val="false"/>
          <w:color w:val="000000"/>
          <w:sz w:val="20"/>
          <w:szCs w:val="20"/>
        </w:rPr>
        <w:t>Declaração de que a empresa não possui em seu quadro funcional, empregados menores</w:t>
      </w:r>
      <w:r>
        <w:rPr>
          <w:rFonts w:eastAsia="Arial" w:cs="Verdana" w:ascii="Verdana" w:hAnsi="Verdana"/>
          <w:color w:val="000000"/>
          <w:sz w:val="20"/>
          <w:szCs w:val="20"/>
        </w:rPr>
        <w:t xml:space="preserve"> de 18 anos atuando em trabalho noturno, perigoso ou insalubre e ainda que não possua menores de 16 anos trabalhando na empresa, salvo no caso de aprendiz que somente poderá ocorrer a partir dos 14 anos de idade.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iCs/>
          <w:sz w:val="20"/>
          <w:szCs w:val="20"/>
          <w:shd w:fill="auto" w:val="clear"/>
        </w:rPr>
      </w:pPr>
      <w:r>
        <w:rPr>
          <w:rFonts w:ascii="Verdana" w:hAnsi="Verdana"/>
          <w:iCs/>
          <w:sz w:val="20"/>
          <w:szCs w:val="20"/>
          <w:shd w:fill="auto" w:val="clear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bCs/>
          <w:sz w:val="20"/>
          <w:szCs w:val="20"/>
        </w:rPr>
        <w:t>12. CONTRATAÇÕES CORRELATAS E/OU INTERDEPENDENTES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12.1. Não se verifica contratações correlatas ou interdependentes para a viabilidade e contratação desta demanda.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bCs/>
          <w:sz w:val="20"/>
          <w:szCs w:val="20"/>
        </w:rPr>
        <w:t>13. RESULTADOS PRETENDIDOS COM A CONTRATAÇÃO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 w:val="false"/>
          <w:bCs w:val="false"/>
          <w:sz w:val="20"/>
          <w:szCs w:val="20"/>
        </w:rPr>
        <w:t>13.1 Com a contratação, buscaremos manter os ambientes escolares adequados e seguros para colaboradores, servidores, pais e alunos, bem como a melhoria de funcionamento da rede elétrica.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bCs/>
          <w:sz w:val="20"/>
          <w:szCs w:val="20"/>
        </w:rPr>
        <w:t>14. DECLARAÇÃO E JUSTIFICATIVA DA VIABILIDADE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 w:val="false"/>
          <w:bCs w:val="false"/>
          <w:sz w:val="20"/>
          <w:szCs w:val="20"/>
        </w:rPr>
        <w:t>14.1.</w:t>
      </w:r>
      <w:r>
        <w:rPr>
          <w:rFonts w:eastAsia="Arial" w:ascii="Verdana" w:hAnsi="Verdana"/>
          <w:b/>
          <w:bCs w:val="false"/>
          <w:sz w:val="20"/>
          <w:szCs w:val="20"/>
        </w:rPr>
        <w:t xml:space="preserve"> </w:t>
      </w:r>
      <w:r>
        <w:rPr>
          <w:rFonts w:eastAsia="Arial" w:ascii="Verdana" w:hAnsi="Verdana"/>
          <w:b w:val="false"/>
          <w:bCs w:val="false"/>
          <w:sz w:val="20"/>
          <w:szCs w:val="20"/>
        </w:rPr>
        <w:t>A equipe de planejamento deste ETP e de acordo com a autoridade deste requerente, declara viável esta contratação;</w:t>
      </w:r>
    </w:p>
    <w:p>
      <w:pPr>
        <w:pStyle w:val="normal2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14.2. Considerando </w:t>
      </w:r>
      <w:r>
        <w:rPr>
          <w:rFonts w:ascii="Verdana" w:hAnsi="Verdana"/>
          <w:b w:val="false"/>
          <w:bCs w:val="false"/>
          <w:sz w:val="20"/>
          <w:szCs w:val="20"/>
        </w:rPr>
        <w:t>que existe a necessidade aumentar o fornecimento na referida escola, faz-se necessária a contratação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ind w:hanging="0" w:left="0"/>
        <w:jc w:val="both"/>
        <w:rPr>
          <w:rFonts w:ascii="Verdana" w:hAnsi="Verdana" w:eastAsia="Arial"/>
          <w:b w:val="false"/>
          <w:bCs w:val="false"/>
          <w:sz w:val="20"/>
          <w:szCs w:val="20"/>
          <w:shd w:fill="auto" w:val="clear"/>
        </w:rPr>
      </w:pPr>
      <w:r>
        <w:rPr>
          <w:rFonts w:eastAsia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15. PROVIDÊNCIAS A SEREM ADOTADAS</w:t>
      </w:r>
    </w:p>
    <w:p>
      <w:pPr>
        <w:pStyle w:val="normal1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15.1</w:t>
      </w:r>
      <w:r>
        <w:rPr>
          <w:rFonts w:ascii="Verdana" w:hAnsi="Verdana"/>
          <w:b/>
          <w:sz w:val="20"/>
          <w:szCs w:val="20"/>
        </w:rPr>
        <w:t xml:space="preserve">. </w:t>
      </w:r>
      <w:r>
        <w:rPr>
          <w:rFonts w:ascii="Verdana" w:hAnsi="Verdana"/>
          <w:b w:val="false"/>
          <w:sz w:val="20"/>
          <w:szCs w:val="20"/>
        </w:rPr>
        <w:t>A Secretaria Municipal d</w:t>
      </w:r>
      <w:r>
        <w:rPr>
          <w:rFonts w:ascii="Verdana" w:hAnsi="Verdana"/>
          <w:b w:val="false"/>
          <w:bCs w:val="false"/>
          <w:sz w:val="20"/>
          <w:szCs w:val="20"/>
        </w:rPr>
        <w:t>e Educação deverá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aco</w:t>
      </w:r>
      <w:r>
        <w:rPr>
          <w:rFonts w:ascii="Verdana" w:hAnsi="Verdana"/>
          <w:b w:val="false"/>
          <w:color w:val="000000"/>
          <w:sz w:val="20"/>
          <w:szCs w:val="20"/>
        </w:rPr>
        <w:t xml:space="preserve">mpanhar a prestação dos serviços, </w:t>
      </w:r>
      <w:r>
        <w:rPr>
          <w:rFonts w:ascii="Verdana" w:hAnsi="Verdana"/>
          <w:b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16. ADEQUAÇÃO ORÇAMENTÁRIA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16.1.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00633-15000025000 no valor de R$ 287.554,27 (duzentos e oitenta e sete mil quinhentos e cinquenta e quatro reais e vinte e sete centavos).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17. DOS RESPONSÁVEIS PELA ELABORAÇÃO DO TERMO DE REFERÊNCIA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17.1. A compilação das informações mencionados na elaboração deste Termo de Referência foram estruturadas/fundamentado no estudo técnico preliminar que concluiu pela viabilidade da contratação, em anexo nos autos e elaborado pela secretaria requisitante.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27 de outubro</w:t>
      </w:r>
      <w:r>
        <w:rPr>
          <w:rFonts w:eastAsia="Times New Roman" w:cs="Times New Roman"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 2025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16" w:name="art122%252525252525252525252525252525254"/>
      <w:bookmarkStart w:id="17" w:name="art116_Copia_1"/>
      <w:bookmarkEnd w:id="16"/>
      <w:bookmarkEnd w:id="17"/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  <w:bookmarkStart w:id="18" w:name="art122%252525252525252525252525252525255"/>
      <w:bookmarkStart w:id="19" w:name="_GoBack11_Copia_1"/>
      <w:bookmarkStart w:id="20" w:name="_GoBack1_Copia_1_Copia_1"/>
      <w:bookmarkStart w:id="21" w:name="_GoBack_Copia_1_Copia_1"/>
      <w:bookmarkStart w:id="22" w:name="art122%252525252525252525252525252525256"/>
      <w:bookmarkStart w:id="23" w:name="art122%252525252525252525252525252525255"/>
      <w:bookmarkStart w:id="24" w:name="_GoBack11_Copia_1"/>
      <w:bookmarkStart w:id="25" w:name="_GoBack1_Copia_1_Copia_1"/>
      <w:bookmarkStart w:id="26" w:name="_GoBack_Copia_1_Copia_1"/>
      <w:bookmarkStart w:id="27" w:name="art122%252525252525252525252525252525256"/>
      <w:bookmarkEnd w:id="23"/>
      <w:bookmarkEnd w:id="24"/>
      <w:bookmarkEnd w:id="25"/>
      <w:bookmarkEnd w:id="26"/>
      <w:bookmarkEnd w:id="27"/>
    </w:p>
    <w:p>
      <w:pPr>
        <w:pStyle w:val="Normal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ourier New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360" w:before="240" w:after="240"/>
      <w:jc w:val="both"/>
    </w:pPr>
    <w:rPr>
      <w:b/>
    </w:rPr>
  </w:style>
  <w:style w:type="paragraph" w:styleId="Heading3">
    <w:name w:val="Heading 3"/>
    <w:basedOn w:val="LO-normal"/>
    <w:next w:val="LO-normal"/>
    <w:qFormat/>
    <w:pPr>
      <w:keepNext w:val="true"/>
      <w:keepLines/>
    </w:pPr>
    <w:rPr>
      <w:i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Hyperlink1">
    <w:name w:val="Hyperlink1"/>
    <w:qFormat/>
    <w:rPr>
      <w:color w:val="000080"/>
      <w:u w:val="single"/>
    </w:rPr>
  </w:style>
  <w:style w:type="character" w:styleId="WW8Num2z0">
    <w:name w:val="WW8Num2z0"/>
    <w:qFormat/>
    <w:rPr>
      <w:rFonts w:ascii="Arial" w:hAnsi="Arial" w:eastAsia="Batang" w:cs="Arial"/>
      <w:b/>
      <w:i w:val="false"/>
      <w:sz w:val="24"/>
      <w:szCs w:val="24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360" w:before="240" w:after="240"/>
      <w:jc w:val="both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sz w:val="20"/>
    </w:rPr>
  </w:style>
  <w:style w:type="paragraph" w:styleId="Contedodoquadro">
    <w:name w:val="Conteúdo do quadro"/>
    <w:basedOn w:val="Normal"/>
    <w:qFormat/>
    <w:pPr/>
    <w:rPr/>
  </w:style>
  <w:style w:type="paragraph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1">
    <w:name w:val="normal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pt-BR" w:eastAsia="en-US" w:bidi="ar-SA"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Calibri"/>
      <w:color w:val="auto"/>
      <w:kern w:val="2"/>
      <w:sz w:val="24"/>
      <w:szCs w:val="24"/>
      <w:lang w:val="pt-BR" w:eastAsia="zh-CN" w:bidi="hi-IN"/>
    </w:rPr>
  </w:style>
  <w:style w:type="paragraph" w:styleId="normal2">
    <w:name w:val="normal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pt-BR" w:eastAsia="en-US" w:bidi="ar-SA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Application>LibreOffice/24.2.7.2$Windows_X86_64 LibreOffice_project/ee3885777aa7032db5a9b65deec9457448a91162</Application>
  <AppVersion>15.0000</AppVersion>
  <Pages>10</Pages>
  <Words>5272</Words>
  <Characters>30356</Characters>
  <CharactersWithSpaces>35507</CharactersWithSpaces>
  <Paragraphs>248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2025-08-04T15:21:14Z</cp:lastPrinted>
  <dcterms:modified xsi:type="dcterms:W3CDTF">2026-02-19T15:54:46Z</dcterms:modified>
  <cp:revision>156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